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0738F" w14:textId="77777777" w:rsidR="00DD0832" w:rsidRPr="00977697" w:rsidRDefault="00DD0832" w:rsidP="005A064D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226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</w:p>
    <w:p w14:paraId="684DE174" w14:textId="77777777" w:rsidR="000E0195" w:rsidRPr="00977697" w:rsidRDefault="000E0195" w:rsidP="000E0195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1560" w:right="-2" w:firstLine="708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</w:pPr>
    </w:p>
    <w:p w14:paraId="0ECF1B4D" w14:textId="68254FD3" w:rsidR="00B16D1F" w:rsidRPr="002F0D75" w:rsidRDefault="002F0D75" w:rsidP="00B16D1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i/>
          <w:iCs/>
          <w:lang w:eastAsia="it-IT"/>
        </w:rPr>
      </w:pPr>
      <w:r>
        <w:rPr>
          <w:rFonts w:ascii="Times New Roman" w:eastAsia="Times New Roman" w:hAnsi="Times New Roman" w:cs="Times New Roman"/>
          <w:i/>
          <w:iCs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i/>
          <w:iCs/>
          <w:lang w:eastAsia="it-IT"/>
        </w:rPr>
        <w:tab/>
      </w:r>
      <w:r>
        <w:rPr>
          <w:rFonts w:ascii="Times New Roman" w:eastAsia="Times New Roman" w:hAnsi="Times New Roman" w:cs="Times New Roman"/>
          <w:i/>
          <w:iCs/>
          <w:lang w:eastAsia="it-IT"/>
        </w:rPr>
        <w:tab/>
      </w:r>
      <w:r>
        <w:rPr>
          <w:rFonts w:ascii="Times New Roman" w:eastAsia="Times New Roman" w:hAnsi="Times New Roman" w:cs="Times New Roman"/>
          <w:i/>
          <w:iCs/>
          <w:lang w:eastAsia="it-IT"/>
        </w:rPr>
        <w:tab/>
      </w:r>
      <w:r w:rsidR="00DD0832" w:rsidRPr="002F0D75">
        <w:rPr>
          <w:rFonts w:ascii="Times New Roman" w:eastAsia="Times New Roman" w:hAnsi="Times New Roman" w:cs="Times New Roman"/>
          <w:i/>
          <w:iCs/>
          <w:lang w:eastAsia="it-IT"/>
        </w:rPr>
        <w:t xml:space="preserve">Comunicato stampa n. </w:t>
      </w:r>
      <w:r w:rsidR="00BC08A6" w:rsidRPr="002F0D75">
        <w:rPr>
          <w:rFonts w:ascii="Times New Roman" w:eastAsia="Times New Roman" w:hAnsi="Times New Roman" w:cs="Times New Roman"/>
          <w:i/>
          <w:iCs/>
          <w:lang w:eastAsia="it-IT"/>
        </w:rPr>
        <w:t>1</w:t>
      </w:r>
      <w:r w:rsidR="00B16D1F" w:rsidRPr="002F0D75">
        <w:rPr>
          <w:rFonts w:ascii="Times New Roman" w:eastAsia="Times New Roman" w:hAnsi="Times New Roman" w:cs="Times New Roman"/>
          <w:i/>
          <w:iCs/>
          <w:lang w:eastAsia="it-IT"/>
        </w:rPr>
        <w:t>2</w:t>
      </w:r>
    </w:p>
    <w:p w14:paraId="3A570BA0" w14:textId="77777777" w:rsidR="00B16D1F" w:rsidRPr="002F0D75" w:rsidRDefault="00B16D1F" w:rsidP="00B16D1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i/>
          <w:iCs/>
          <w:sz w:val="10"/>
          <w:szCs w:val="10"/>
          <w:lang w:eastAsia="it-IT"/>
        </w:rPr>
      </w:pPr>
    </w:p>
    <w:p w14:paraId="3865CADF" w14:textId="77777777" w:rsidR="00B16D1F" w:rsidRPr="002F0D75" w:rsidRDefault="00B16D1F" w:rsidP="00B16D1F">
      <w:pPr>
        <w:spacing w:after="0" w:line="240" w:lineRule="auto"/>
        <w:ind w:left="2127" w:right="-710"/>
        <w:jc w:val="both"/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</w:pPr>
      <w:r w:rsidRPr="002F0D75">
        <w:rPr>
          <w:rFonts w:ascii="Times New Roman" w:eastAsia="Times New Roman" w:hAnsi="Times New Roman" w:cs="Times New Roman"/>
          <w:b/>
          <w:bCs/>
          <w:kern w:val="2"/>
          <w:sz w:val="28"/>
          <w:szCs w:val="28"/>
        </w:rPr>
        <w:t>EIMA Energy: tecnologie avanzate per l’energia da biomasse</w:t>
      </w:r>
    </w:p>
    <w:p w14:paraId="3424AD5F" w14:textId="7A745107" w:rsidR="00B16D1F" w:rsidRPr="002F0D75" w:rsidRDefault="00302C23" w:rsidP="00B16D1F">
      <w:pPr>
        <w:spacing w:after="0" w:line="240" w:lineRule="auto"/>
        <w:ind w:left="2127" w:right="-710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</w:rPr>
      </w:pPr>
      <w:r w:rsidRPr="002F0D75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</w:rPr>
        <w:t>Presentata questa mattina la 11</w:t>
      </w:r>
      <w:r w:rsidR="00B16D1F" w:rsidRPr="002F0D75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</w:rPr>
        <w:t>ma edizione del Salone internazionale delle bioenergie, che è realizzato da FederUnacoma e Itabia, e che si terrà a Bologna dal 10 al 14 novembre prossimo. Nella conferenza di lancio è stato sottolineato il contributo imponente delle energie rinnovabili alla copertura dei fabbisogni energetici nazionali</w:t>
      </w:r>
      <w:r w:rsidR="002F0D75" w:rsidRPr="002F0D75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</w:rPr>
        <w:t xml:space="preserve"> </w:t>
      </w:r>
      <w:r w:rsidR="003668B9" w:rsidRPr="002F0D75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</w:rPr>
        <w:t>(22%)</w:t>
      </w:r>
      <w:r w:rsidR="00B16D1F" w:rsidRPr="002F0D75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</w:rPr>
        <w:t>, e il ruolo particolarmente strategico delle bio</w:t>
      </w:r>
      <w:r w:rsidR="002A2E24" w:rsidRPr="002F0D75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</w:rPr>
        <w:t>energie.</w:t>
      </w:r>
      <w:r w:rsidR="00B16D1F" w:rsidRPr="002F0D75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</w:rPr>
        <w:t xml:space="preserve"> Previsti all’EIMA un’ampia area dimostrativa e un programma di convegni e seminari tecnici per divulgare, presso agricoltori, tecnici ed operatori delle filiere</w:t>
      </w:r>
      <w:r w:rsidR="002A2E24" w:rsidRPr="002F0D75"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</w:rPr>
        <w:t>, le qualità dei combustibili ottenuti dalle biomasse agricole e forestali.</w:t>
      </w:r>
    </w:p>
    <w:p w14:paraId="7E1BDF9D" w14:textId="77777777" w:rsidR="00B16D1F" w:rsidRPr="002F0D75" w:rsidRDefault="00B16D1F" w:rsidP="00B16D1F">
      <w:pPr>
        <w:spacing w:after="0" w:line="240" w:lineRule="auto"/>
        <w:ind w:left="2127" w:right="-710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10"/>
          <w:szCs w:val="10"/>
        </w:rPr>
      </w:pPr>
    </w:p>
    <w:p w14:paraId="0E5E7C87" w14:textId="08F379C3" w:rsidR="00B16D1F" w:rsidRPr="002F0D75" w:rsidRDefault="00B16D1F" w:rsidP="00B16D1F">
      <w:pPr>
        <w:spacing w:after="0" w:line="240" w:lineRule="auto"/>
        <w:ind w:left="2127" w:right="-710"/>
        <w:jc w:val="both"/>
        <w:rPr>
          <w:rFonts w:ascii="Times New Roman" w:eastAsia="Times New Roman" w:hAnsi="Times New Roman" w:cs="Times New Roman"/>
          <w:b/>
          <w:bCs/>
          <w:i/>
          <w:iCs/>
          <w:kern w:val="2"/>
          <w:sz w:val="24"/>
          <w:szCs w:val="24"/>
        </w:rPr>
      </w:pPr>
      <w:r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L’energia italiana è sempre più ‘green’. Nel 2024 il contributo delle fonti rinnovabili ai consumi finali lordi è cresciuto </w:t>
      </w:r>
      <w:r w:rsidR="00B91114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>ulteriormente rispetto agli anni precedenti,</w:t>
      </w:r>
      <w:r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raggiungendo i 30,6 Mtep</w:t>
      </w:r>
      <w:r w:rsidR="002F0D75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(milioni tonnellate equivalente </w:t>
      </w:r>
      <w:proofErr w:type="gramStart"/>
      <w:r w:rsidR="002F0D75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petrolio) </w:t>
      </w:r>
      <w:r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e</w:t>
      </w:r>
      <w:proofErr w:type="gramEnd"/>
      <w:r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coprendo circa il 22% del fabbisogno energetico nazionale, stimato dal</w:t>
      </w:r>
      <w:r w:rsidR="002F0D75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Ministero dell’Ambiente e della Sicurezza Energetica </w:t>
      </w:r>
      <w:r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in 140 Mtep, vale a dire più di un miliardo di barili di petrolio. </w:t>
      </w:r>
    </w:p>
    <w:p w14:paraId="59DC0F7F" w14:textId="77777777" w:rsidR="00B16D1F" w:rsidRPr="002F0D75" w:rsidRDefault="00B16D1F" w:rsidP="00B16D1F">
      <w:pPr>
        <w:spacing w:after="0" w:line="240" w:lineRule="auto"/>
        <w:ind w:left="2127" w:right="-71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>L’incremento della produzione da fonti a basso impatto ambientale (bioenergie, idroelettrico, solare, eolico, pompe di calore e geotermia) ha permesso di ridurre in misura significativa la domanda interna di combustibili fossili, tagliando in un solo anno l’equivalente</w:t>
      </w:r>
      <w:r w:rsidR="00B91114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di oltre 210 milioni di barili di petrolio.</w:t>
      </w:r>
    </w:p>
    <w:p w14:paraId="6A4B6DC6" w14:textId="77777777" w:rsidR="00B16D1F" w:rsidRPr="002F0D75" w:rsidRDefault="00B16D1F" w:rsidP="00B16D1F">
      <w:pPr>
        <w:spacing w:after="0" w:line="240" w:lineRule="auto"/>
        <w:ind w:left="2127" w:right="-71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Questo è emerso nel corso della conferenza stampa dedicata alla presentazione di EIMA Energy, svoltasi questa mattina in diretta </w:t>
      </w:r>
      <w:r w:rsidR="003668B9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>streaming</w:t>
      </w:r>
      <w:r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dalla sede FederUnacoma di Roma.</w:t>
      </w:r>
    </w:p>
    <w:p w14:paraId="6ABF41AF" w14:textId="2BE3A671" w:rsidR="00B16D1F" w:rsidRPr="002F0D75" w:rsidRDefault="003668B9" w:rsidP="00B16D1F">
      <w:pPr>
        <w:spacing w:after="0" w:line="240" w:lineRule="auto"/>
        <w:ind w:left="2127" w:right="-71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EIMA </w:t>
      </w:r>
      <w:r w:rsidR="00B16D1F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Energy è uno dei sette Saloni specializzati di EIMA International – è stato spiegato nel corso dell’incontro – un’esposizione fra le prime al mondo per il settore </w:t>
      </w:r>
      <w:r w:rsidR="00B91114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>della meccanizzazione</w:t>
      </w:r>
      <w:r w:rsidR="00B16D1F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agricola, che si terrà alla fiera di Bologna da martedì 10 a sabato 14 novembre prossimi. La conferenza – che ha visto gli interventi di Simona Rapastella, direttore generale di FederUnacoma (l’associazione che in seno a Confindustria rappresenta i costruttori di macchine agricole e che è organizzatrice diretta dell’EIMA); di Vito Pignatelli, presidente di I</w:t>
      </w:r>
      <w:r w:rsidR="002F0D75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>tabia</w:t>
      </w:r>
      <w:r w:rsidR="00B16D1F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, </w:t>
      </w:r>
      <w:proofErr w:type="spellStart"/>
      <w:r w:rsidR="00B16D1F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>Italian</w:t>
      </w:r>
      <w:proofErr w:type="spellEnd"/>
      <w:r w:rsidR="00B16D1F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proofErr w:type="spellStart"/>
      <w:r w:rsidR="00B16D1F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>Biomass</w:t>
      </w:r>
      <w:proofErr w:type="spellEnd"/>
      <w:r w:rsidR="00B16D1F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Association</w:t>
      </w:r>
      <w:r w:rsidR="00B91114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>,</w:t>
      </w:r>
      <w:r w:rsidR="00B16D1F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che è insieme con FederUnacoma organizzatore di EIMA Energy; e di Raffaele Spinelli</w:t>
      </w:r>
      <w:r w:rsidR="002F0D75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ricercatore </w:t>
      </w:r>
      <w:r w:rsidR="00B16D1F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>del CNR IBE.</w:t>
      </w:r>
    </w:p>
    <w:p w14:paraId="4647C0F9" w14:textId="5365C86F" w:rsidR="00B16D1F" w:rsidRPr="002F0D75" w:rsidRDefault="00B16D1F" w:rsidP="00B16D1F">
      <w:pPr>
        <w:spacing w:after="0" w:line="240" w:lineRule="auto"/>
        <w:ind w:left="2127" w:right="-71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>“Le bioenergie – ha spiegato Pignatelli – si ricavano da numerose fonti, dal legno forestale ai residui delle lavorazioni agricole, dai reflui degli allevamenti zootecnici ai rifiuti agroindustriali e alla frazione organica de</w:t>
      </w:r>
      <w:r w:rsidR="003668B9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>i</w:t>
      </w:r>
      <w:r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rifiuti solidi urbani, e offrono rendimenti energetici eccellenti grazie all’impiantistica oggi disponibile”. “Tra i vantaggi offerti delle biomasse – ha aggiunto il presidente di Itabia – va segnalatala </w:t>
      </w:r>
      <w:r w:rsidR="002F0D75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la </w:t>
      </w:r>
      <w:r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>grande flessibilità, che permette di utilizzare queste risorse per la produzione di elettricità, di calore e di carburanti per i trasporti, e la facile reperibilità sul territorio, oltre alle zero emissioni di gas se</w:t>
      </w:r>
      <w:r w:rsidR="00B91114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>rra che rendono le bioenergie una delle fonti in assoluto più ecologiche</w:t>
      </w:r>
      <w:r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”. </w:t>
      </w:r>
    </w:p>
    <w:p w14:paraId="307D85FF" w14:textId="77777777" w:rsidR="002F0D75" w:rsidRPr="002F0D75" w:rsidRDefault="002F0D75" w:rsidP="00B16D1F">
      <w:pPr>
        <w:spacing w:after="0" w:line="240" w:lineRule="auto"/>
        <w:ind w:left="2127" w:right="-71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05E7DABF" w14:textId="77777777" w:rsidR="002F0D75" w:rsidRPr="002F0D75" w:rsidRDefault="002F0D75" w:rsidP="00B16D1F">
      <w:pPr>
        <w:spacing w:after="0" w:line="240" w:lineRule="auto"/>
        <w:ind w:left="2127" w:right="-71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0FE30943" w14:textId="77777777" w:rsidR="002F0D75" w:rsidRPr="002F0D75" w:rsidRDefault="002F0D75" w:rsidP="00B16D1F">
      <w:pPr>
        <w:spacing w:after="0" w:line="240" w:lineRule="auto"/>
        <w:ind w:left="2127" w:right="-71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22A5A39B" w14:textId="77777777" w:rsidR="002F0D75" w:rsidRPr="002F0D75" w:rsidRDefault="002F0D75" w:rsidP="00B16D1F">
      <w:pPr>
        <w:spacing w:after="0" w:line="240" w:lineRule="auto"/>
        <w:ind w:left="2127" w:right="-71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69118A70" w14:textId="77777777" w:rsidR="002F0D75" w:rsidRPr="002F0D75" w:rsidRDefault="002F0D75" w:rsidP="00B16D1F">
      <w:pPr>
        <w:spacing w:after="0" w:line="240" w:lineRule="auto"/>
        <w:ind w:left="2127" w:right="-71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43A394B0" w14:textId="77777777" w:rsidR="002F0D75" w:rsidRPr="002F0D75" w:rsidRDefault="002F0D75" w:rsidP="00B16D1F">
      <w:pPr>
        <w:spacing w:after="0" w:line="240" w:lineRule="auto"/>
        <w:ind w:left="2127" w:right="-71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5525F43E" w14:textId="77777777" w:rsidR="002432BE" w:rsidRDefault="002432BE" w:rsidP="002F0D75">
      <w:pPr>
        <w:spacing w:after="0" w:line="240" w:lineRule="auto"/>
        <w:ind w:left="2127" w:right="-71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</w:p>
    <w:p w14:paraId="16BF21B0" w14:textId="7DCDA453" w:rsidR="002F0D75" w:rsidRPr="002F0D75" w:rsidRDefault="00B16D1F" w:rsidP="002F0D75">
      <w:pPr>
        <w:spacing w:after="0" w:line="240" w:lineRule="auto"/>
        <w:ind w:left="2127" w:right="-71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>“Per attivare filiere bioenergetiche efficienti – ha sottolineato Raffaele Spinelli nel suo intervento – è fondamentale disporre di una meccanizzazione che copra l’intero ciclo, dalla raccolta della biomassa al trasporto, fino alla sua lavorazione e all’impiantistica per la conversione energetica”. “Trattrici forestali, sollevatori telescopici, macchine per lo sminuzzamento dei residui e molte altre tipologie di mezzi, attrezzature e impianti, sono oggi prodotti da industrie specializzate</w:t>
      </w:r>
      <w:r w:rsidR="002F0D75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3668B9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>-</w:t>
      </w:r>
      <w:r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ha ricordato Spinelli - e saranno visibili nel contesto di EIMA Energy”.</w:t>
      </w:r>
    </w:p>
    <w:p w14:paraId="38CAA41C" w14:textId="7BE83827" w:rsidR="00B16D1F" w:rsidRPr="002F0D75" w:rsidRDefault="00B16D1F" w:rsidP="002F0D75">
      <w:pPr>
        <w:spacing w:after="0" w:line="240" w:lineRule="auto"/>
        <w:ind w:left="2127" w:right="-71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>Il Salone bolognese è da molti anni un punto di riferimento per gli operatori delle filiere bioenergetiche, e per le imprese agricole e agroindustriali che hanno necessità di smaltire i residui e i sottoprodotti e nello stes</w:t>
      </w:r>
      <w:r w:rsidR="00B91114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>s</w:t>
      </w:r>
      <w:r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o tempo hanno interesse ad ottenere energia a basso costo per le </w:t>
      </w:r>
      <w:r w:rsidR="00B91114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>proprie attività</w:t>
      </w:r>
      <w:r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>.</w:t>
      </w:r>
    </w:p>
    <w:p w14:paraId="51068868" w14:textId="2DD819A4" w:rsidR="00B16D1F" w:rsidRPr="002F0D75" w:rsidRDefault="00B16D1F" w:rsidP="00B16D1F">
      <w:pPr>
        <w:spacing w:after="0" w:line="240" w:lineRule="auto"/>
        <w:ind w:left="2127" w:right="-71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“Fin dalla sua prima edizione, il Salone di EIMA Energy è stato una vetrina delle innovazioni tecnologiche per il settore, ma insieme un grande evento dimostrativo </w:t>
      </w:r>
      <w:r w:rsidR="003668B9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>-</w:t>
      </w:r>
      <w:r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ha detto Simona Rapastella - giacché gran parte dell’esposi</w:t>
      </w:r>
      <w:r w:rsidR="002F0D75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- </w:t>
      </w:r>
      <w:r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>zione è allestita all’aperto con macchine in funzione, per mostrare al pubblico le caratteristiche tecniche e l’efficacia dei mezzi impiegati”. L’area demo avrà quest’anno una collocazione</w:t>
      </w:r>
      <w:r w:rsidR="00302C23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strategica</w:t>
      </w:r>
      <w:r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nell’ambito del quartiere fieristico – è stato spiegato – trovandosi nell’area compresa fra il Padiglione 26 e il Padiglione 30, prossimi all’ingresso Michelino. Nei giorni della rassegna sono inoltre previsti interventi illustrativi dei ricercatori del CNR IBE, oltre che </w:t>
      </w:r>
      <w:r w:rsidR="00A67752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un ciclo di </w:t>
      </w:r>
      <w:r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seminari </w:t>
      </w:r>
      <w:proofErr w:type="gramStart"/>
      <w:r w:rsidR="002F0D75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tecnici </w:t>
      </w:r>
      <w:r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="006A1669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>sulle</w:t>
      </w:r>
      <w:proofErr w:type="gramEnd"/>
      <w:r w:rsidR="006A1669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opportunità di crescita della bioeconomia circolare e il ruolo della moderna meccanizzazione per lo sviluppo delle diverse filiere di questo promettente settore e per </w:t>
      </w:r>
      <w:r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la </w:t>
      </w:r>
      <w:r w:rsidR="00A67752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moderna </w:t>
      </w:r>
      <w:r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>selvicoltura.</w:t>
      </w:r>
    </w:p>
    <w:p w14:paraId="02ABED81" w14:textId="77777777" w:rsidR="00B16D1F" w:rsidRPr="002F0D75" w:rsidRDefault="00B16D1F" w:rsidP="00B16D1F">
      <w:pPr>
        <w:spacing w:after="0" w:line="240" w:lineRule="auto"/>
        <w:ind w:left="2127" w:right="-71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“Mai come quest’anno è importante promuovere le filiere bioenergetiche </w:t>
      </w:r>
      <w:r w:rsidR="003668B9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>-</w:t>
      </w:r>
      <w:r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ha spiegato il direttore di FederUnacoma - perché queste sono una risposta concreta alle grandi sfide che si prospettano: quella climatica, che esige comb</w:t>
      </w:r>
      <w:r w:rsidR="00B91114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>ustibili alternativi a quelli di</w:t>
      </w:r>
      <w:r w:rsidR="006A1669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</w:t>
      </w:r>
      <w:r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>origine fossile, e quella energetica, che vede il nostro Paese povero di fonti energetiche ‘tradizionali’, ma ricco di vegetazione e di produzioni agricole dal grande potenziale”.</w:t>
      </w:r>
    </w:p>
    <w:p w14:paraId="18C31AAC" w14:textId="77777777" w:rsidR="00B16D1F" w:rsidRDefault="00B91114" w:rsidP="00B16D1F">
      <w:pPr>
        <w:spacing w:after="0" w:line="240" w:lineRule="auto"/>
        <w:ind w:left="2127" w:right="-710"/>
        <w:jc w:val="both"/>
        <w:rPr>
          <w:rFonts w:ascii="Times New Roman" w:eastAsia="Times New Roman" w:hAnsi="Times New Roman" w:cs="Times New Roman"/>
          <w:kern w:val="2"/>
          <w:sz w:val="24"/>
          <w:szCs w:val="24"/>
        </w:rPr>
      </w:pPr>
      <w:r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>Il nostro Paese, basandosi sulle proprie risorse, potrebbe produrre</w:t>
      </w:r>
      <w:r w:rsidR="00B16D1F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nel 2030 oltre 16 Mtep di energia termica da biomasse. Considerando che una petroliera di medie-grandi dimensioni è in grado di trasportare dalle 120.000 alle 200.000 tonnellate di petrolio </w:t>
      </w:r>
      <w:r w:rsidR="003668B9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>-</w:t>
      </w:r>
      <w:r w:rsidR="00B16D1F" w:rsidRPr="002F0D75">
        <w:rPr>
          <w:rFonts w:ascii="Times New Roman" w:eastAsia="Times New Roman" w:hAnsi="Times New Roman" w:cs="Times New Roman"/>
          <w:kern w:val="2"/>
          <w:sz w:val="24"/>
          <w:szCs w:val="24"/>
        </w:rPr>
        <w:t xml:space="preserve"> è stato detto a titolo d’esempio nel corso della conferenza - il potenziale di 16 Mtep equivarrebbe al carico di 80-140 petroliere ogni anno.</w:t>
      </w:r>
    </w:p>
    <w:p w14:paraId="0FE303CB" w14:textId="77777777" w:rsidR="003668B9" w:rsidRPr="002E6D6D" w:rsidRDefault="003668B9" w:rsidP="00B16D1F">
      <w:pPr>
        <w:spacing w:after="0" w:line="240" w:lineRule="auto"/>
        <w:ind w:left="2127" w:right="-710"/>
        <w:jc w:val="both"/>
        <w:rPr>
          <w:rFonts w:ascii="Times New Roman" w:hAnsi="Times New Roman" w:cs="Times New Roman"/>
          <w:sz w:val="24"/>
          <w:szCs w:val="24"/>
        </w:rPr>
      </w:pPr>
    </w:p>
    <w:p w14:paraId="13153BEB" w14:textId="1C6E8A97" w:rsidR="00B16D1F" w:rsidRPr="00BC08A6" w:rsidRDefault="00B16D1F" w:rsidP="00B37CFC">
      <w:pPr>
        <w:pBdr>
          <w:top w:val="nil"/>
          <w:left w:val="nil"/>
          <w:bottom w:val="nil"/>
          <w:right w:val="nil"/>
          <w:between w:val="nil"/>
          <w:bar w:val="nil"/>
        </w:pBdr>
        <w:spacing w:line="240" w:lineRule="auto"/>
        <w:ind w:right="-28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        </w:t>
      </w:r>
      <w:r w:rsidR="002F0D7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="002F0D7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 w:rsidR="002F0D75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ab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Roma, 2 luglio 2026</w:t>
      </w:r>
    </w:p>
    <w:p w14:paraId="30A8708D" w14:textId="77777777" w:rsidR="00AF3D84" w:rsidRPr="00977697" w:rsidRDefault="00AF3D84" w:rsidP="00B37CF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-285"/>
        <w:jc w:val="both"/>
      </w:pPr>
    </w:p>
    <w:sectPr w:rsidR="00AF3D84" w:rsidRPr="00977697" w:rsidSect="00DD0832">
      <w:headerReference w:type="default" r:id="rId6"/>
      <w:footerReference w:type="default" r:id="rId7"/>
      <w:pgSz w:w="11906" w:h="16838" w:code="9"/>
      <w:pgMar w:top="1418" w:right="1134" w:bottom="142" w:left="1843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77A72" w14:textId="77777777" w:rsidR="00B748EC" w:rsidRDefault="00B748EC">
      <w:pPr>
        <w:spacing w:after="0" w:line="240" w:lineRule="auto"/>
      </w:pPr>
      <w:r>
        <w:separator/>
      </w:r>
    </w:p>
  </w:endnote>
  <w:endnote w:type="continuationSeparator" w:id="0">
    <w:p w14:paraId="2882A353" w14:textId="77777777" w:rsidR="00B748EC" w:rsidRDefault="00B74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5371124"/>
      <w:docPartObj>
        <w:docPartGallery w:val="Page Numbers (Bottom of Page)"/>
        <w:docPartUnique/>
      </w:docPartObj>
    </w:sdtPr>
    <w:sdtContent>
      <w:p w14:paraId="2C424ECB" w14:textId="77777777" w:rsidR="000E53AF" w:rsidRDefault="002803A2">
        <w:pPr>
          <w:pStyle w:val="Pidipagina"/>
          <w:jc w:val="right"/>
        </w:pPr>
        <w:r>
          <w:fldChar w:fldCharType="begin"/>
        </w:r>
        <w:r w:rsidR="00692D3D">
          <w:instrText>PAGE   \* MERGEFORMAT</w:instrText>
        </w:r>
        <w:r>
          <w:fldChar w:fldCharType="separate"/>
        </w:r>
        <w:r w:rsidR="00D566E4">
          <w:rPr>
            <w:noProof/>
          </w:rPr>
          <w:t>1</w:t>
        </w:r>
        <w:r>
          <w:fldChar w:fldCharType="end"/>
        </w:r>
      </w:p>
    </w:sdtContent>
  </w:sdt>
  <w:p w14:paraId="06D59EA9" w14:textId="77777777" w:rsidR="000E53AF" w:rsidRDefault="000E53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C6367" w14:textId="77777777" w:rsidR="00B748EC" w:rsidRDefault="00B748EC">
      <w:pPr>
        <w:spacing w:after="0" w:line="240" w:lineRule="auto"/>
      </w:pPr>
      <w:r>
        <w:separator/>
      </w:r>
    </w:p>
  </w:footnote>
  <w:footnote w:type="continuationSeparator" w:id="0">
    <w:p w14:paraId="6DD4C2E5" w14:textId="77777777" w:rsidR="00B748EC" w:rsidRDefault="00B74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1A9A9" w14:textId="77777777" w:rsidR="000E53AF" w:rsidRDefault="00692D3D">
    <w:pPr>
      <w:pStyle w:val="Intestazion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5C14DD8" wp14:editId="03D42C4B">
          <wp:simplePos x="0" y="0"/>
          <wp:positionH relativeFrom="column">
            <wp:posOffset>-677046</wp:posOffset>
          </wp:positionH>
          <wp:positionV relativeFrom="paragraph">
            <wp:posOffset>-415255</wp:posOffset>
          </wp:positionV>
          <wp:extent cx="7531023" cy="10660469"/>
          <wp:effectExtent l="0" t="0" r="635" b="0"/>
          <wp:wrapNone/>
          <wp:docPr id="196645075" name="Immagine 1966450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0895800" name="Immagine 142089580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31023" cy="106604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832"/>
    <w:rsid w:val="00077B9F"/>
    <w:rsid w:val="000859E7"/>
    <w:rsid w:val="000C4409"/>
    <w:rsid w:val="000D6EA3"/>
    <w:rsid w:val="000E0195"/>
    <w:rsid w:val="000E53AF"/>
    <w:rsid w:val="00117F0C"/>
    <w:rsid w:val="001A523F"/>
    <w:rsid w:val="00212BEB"/>
    <w:rsid w:val="002432BE"/>
    <w:rsid w:val="00275B9C"/>
    <w:rsid w:val="002803A2"/>
    <w:rsid w:val="00282300"/>
    <w:rsid w:val="00291A0E"/>
    <w:rsid w:val="00297040"/>
    <w:rsid w:val="002A2E24"/>
    <w:rsid w:val="002D4418"/>
    <w:rsid w:val="002F0D75"/>
    <w:rsid w:val="00302C23"/>
    <w:rsid w:val="0030445C"/>
    <w:rsid w:val="00323399"/>
    <w:rsid w:val="00335B2C"/>
    <w:rsid w:val="0035717D"/>
    <w:rsid w:val="00357578"/>
    <w:rsid w:val="003668B9"/>
    <w:rsid w:val="00394530"/>
    <w:rsid w:val="003F2E5D"/>
    <w:rsid w:val="003F6C78"/>
    <w:rsid w:val="0043541E"/>
    <w:rsid w:val="004379F0"/>
    <w:rsid w:val="00446399"/>
    <w:rsid w:val="004B341F"/>
    <w:rsid w:val="004E39DD"/>
    <w:rsid w:val="00504AB8"/>
    <w:rsid w:val="005133FD"/>
    <w:rsid w:val="00590319"/>
    <w:rsid w:val="005A064D"/>
    <w:rsid w:val="005A31FE"/>
    <w:rsid w:val="005E2554"/>
    <w:rsid w:val="0060610C"/>
    <w:rsid w:val="00614574"/>
    <w:rsid w:val="006913A7"/>
    <w:rsid w:val="00692D3D"/>
    <w:rsid w:val="006974BC"/>
    <w:rsid w:val="006A1669"/>
    <w:rsid w:val="006B1EEB"/>
    <w:rsid w:val="006D5E48"/>
    <w:rsid w:val="007048B0"/>
    <w:rsid w:val="00735BD4"/>
    <w:rsid w:val="00757C34"/>
    <w:rsid w:val="00762BA7"/>
    <w:rsid w:val="007C69C9"/>
    <w:rsid w:val="007D332B"/>
    <w:rsid w:val="007E3772"/>
    <w:rsid w:val="007E62E6"/>
    <w:rsid w:val="007F0349"/>
    <w:rsid w:val="00801B1D"/>
    <w:rsid w:val="00834C87"/>
    <w:rsid w:val="00835DB7"/>
    <w:rsid w:val="00870E2F"/>
    <w:rsid w:val="0087110F"/>
    <w:rsid w:val="00884CA8"/>
    <w:rsid w:val="009066B1"/>
    <w:rsid w:val="009130D7"/>
    <w:rsid w:val="00920778"/>
    <w:rsid w:val="009766F1"/>
    <w:rsid w:val="00977697"/>
    <w:rsid w:val="00992D09"/>
    <w:rsid w:val="009934BB"/>
    <w:rsid w:val="00993B7D"/>
    <w:rsid w:val="00995E10"/>
    <w:rsid w:val="00995FE3"/>
    <w:rsid w:val="00A67752"/>
    <w:rsid w:val="00A716A1"/>
    <w:rsid w:val="00A773E1"/>
    <w:rsid w:val="00A85568"/>
    <w:rsid w:val="00AE4288"/>
    <w:rsid w:val="00AF3D84"/>
    <w:rsid w:val="00B15B8C"/>
    <w:rsid w:val="00B16D1F"/>
    <w:rsid w:val="00B32A20"/>
    <w:rsid w:val="00B37CFC"/>
    <w:rsid w:val="00B45D9E"/>
    <w:rsid w:val="00B748EC"/>
    <w:rsid w:val="00B91114"/>
    <w:rsid w:val="00BC08A6"/>
    <w:rsid w:val="00BD5EB0"/>
    <w:rsid w:val="00BE5595"/>
    <w:rsid w:val="00BF3FAB"/>
    <w:rsid w:val="00C310D4"/>
    <w:rsid w:val="00CB63E4"/>
    <w:rsid w:val="00CD32D5"/>
    <w:rsid w:val="00CD6230"/>
    <w:rsid w:val="00CF1D0B"/>
    <w:rsid w:val="00D16473"/>
    <w:rsid w:val="00D21CAB"/>
    <w:rsid w:val="00D2563B"/>
    <w:rsid w:val="00D566E4"/>
    <w:rsid w:val="00D67FCE"/>
    <w:rsid w:val="00DA1F14"/>
    <w:rsid w:val="00DD0832"/>
    <w:rsid w:val="00E35683"/>
    <w:rsid w:val="00E43E7A"/>
    <w:rsid w:val="00E6169C"/>
    <w:rsid w:val="00E65BDF"/>
    <w:rsid w:val="00E76B0C"/>
    <w:rsid w:val="00F04658"/>
    <w:rsid w:val="00F04861"/>
    <w:rsid w:val="00F54AC7"/>
    <w:rsid w:val="00FA3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59E039"/>
  <w15:docId w15:val="{A59D5F51-E92F-4E7C-B6F5-ABC1EFDD6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DD08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D08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D083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D083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D083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D083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D083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D083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D083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D08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D08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D08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D083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D083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D083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D083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D083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D083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D08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D08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D083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D08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D08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D083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D083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D083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D08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D083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D0832"/>
    <w:rPr>
      <w:b/>
      <w:bCs/>
      <w:smallCaps/>
      <w:color w:val="2F5496" w:themeColor="accent1" w:themeShade="BF"/>
      <w:spacing w:val="5"/>
    </w:rPr>
  </w:style>
  <w:style w:type="paragraph" w:styleId="Intestazione">
    <w:name w:val="header"/>
    <w:basedOn w:val="Normale"/>
    <w:link w:val="IntestazioneCarattere"/>
    <w:rsid w:val="00DD083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DD083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DD0832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0832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66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5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9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1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858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Girolamo Rossi</dc:creator>
  <cp:lastModifiedBy>Patrizia Menicucci</cp:lastModifiedBy>
  <cp:revision>3</cp:revision>
  <dcterms:created xsi:type="dcterms:W3CDTF">2026-07-02T05:36:00Z</dcterms:created>
  <dcterms:modified xsi:type="dcterms:W3CDTF">2026-07-02T05:36:00Z</dcterms:modified>
</cp:coreProperties>
</file>